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4F0814">
        <w:rPr>
          <w:rFonts w:hint="eastAsia"/>
        </w:rPr>
        <w:t>４３</w:t>
      </w:r>
      <w:r>
        <w:rPr>
          <w:rFonts w:hint="eastAsia"/>
        </w:rPr>
        <w:t>号</w:t>
      </w:r>
    </w:p>
    <w:p w:rsidR="004413F1" w:rsidRPr="004413F1" w:rsidRDefault="004413F1" w:rsidP="004413F1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4413F1">
        <w:rPr>
          <w:rFonts w:hint="eastAsia"/>
          <w:b/>
          <w:kern w:val="0"/>
          <w:sz w:val="28"/>
          <w:szCs w:val="28"/>
        </w:rPr>
        <w:t>土地価格の調整前・調整後の比較表</w:t>
      </w:r>
    </w:p>
    <w:p w:rsidR="004413F1" w:rsidRPr="004413F1" w:rsidRDefault="004413F1" w:rsidP="004413F1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021"/>
        <w:gridCol w:w="1021"/>
        <w:gridCol w:w="1021"/>
        <w:gridCol w:w="1021"/>
        <w:gridCol w:w="1644"/>
        <w:gridCol w:w="1360"/>
        <w:gridCol w:w="284"/>
        <w:gridCol w:w="340"/>
        <w:gridCol w:w="1304"/>
        <w:gridCol w:w="1644"/>
        <w:gridCol w:w="1475"/>
      </w:tblGrid>
      <w:tr w:rsidR="00687E0C" w:rsidRPr="00881B46" w:rsidTr="004413F1">
        <w:trPr>
          <w:trHeight w:hRule="exact" w:val="454"/>
        </w:trPr>
        <w:tc>
          <w:tcPr>
            <w:tcW w:w="1304" w:type="dxa"/>
            <w:vMerge w:val="restart"/>
            <w:vAlign w:val="center"/>
          </w:tcPr>
          <w:p w:rsidR="00687E0C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地区区分</w:t>
            </w:r>
          </w:p>
        </w:tc>
        <w:tc>
          <w:tcPr>
            <w:tcW w:w="1021" w:type="dxa"/>
            <w:vMerge w:val="restart"/>
            <w:vAlign w:val="center"/>
          </w:tcPr>
          <w:p w:rsidR="00687E0C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標準地</w:t>
            </w:r>
          </w:p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比準地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　別</w:t>
            </w:r>
          </w:p>
        </w:tc>
        <w:tc>
          <w:tcPr>
            <w:tcW w:w="1021" w:type="dxa"/>
            <w:vMerge w:val="restart"/>
            <w:vAlign w:val="center"/>
          </w:tcPr>
          <w:p w:rsidR="00687E0C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現況地目</w:t>
            </w:r>
          </w:p>
        </w:tc>
        <w:tc>
          <w:tcPr>
            <w:tcW w:w="1021" w:type="dxa"/>
            <w:vMerge w:val="restart"/>
            <w:vAlign w:val="center"/>
          </w:tcPr>
          <w:p w:rsidR="00687E0C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　　分</w:t>
            </w:r>
          </w:p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(等　級)</w:t>
            </w:r>
          </w:p>
        </w:tc>
        <w:tc>
          <w:tcPr>
            <w:tcW w:w="1021" w:type="dxa"/>
            <w:vMerge w:val="restart"/>
            <w:vAlign w:val="center"/>
          </w:tcPr>
          <w:p w:rsidR="00687E0C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取得面積</w:t>
            </w:r>
          </w:p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(a)</w:t>
            </w:r>
          </w:p>
        </w:tc>
        <w:tc>
          <w:tcPr>
            <w:tcW w:w="3288" w:type="dxa"/>
            <w:gridSpan w:val="3"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　　整　　前</w:t>
            </w:r>
          </w:p>
        </w:tc>
        <w:tc>
          <w:tcPr>
            <w:tcW w:w="3288" w:type="dxa"/>
            <w:gridSpan w:val="3"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　　整　　後</w:t>
            </w:r>
          </w:p>
        </w:tc>
        <w:tc>
          <w:tcPr>
            <w:tcW w:w="1475" w:type="dxa"/>
            <w:vMerge w:val="restart"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摘　　要</w:t>
            </w:r>
          </w:p>
        </w:tc>
      </w:tr>
      <w:tr w:rsidR="00687E0C" w:rsidRPr="00881B46" w:rsidTr="004413F1">
        <w:trPr>
          <w:trHeight w:hRule="exact" w:val="454"/>
        </w:trPr>
        <w:tc>
          <w:tcPr>
            <w:tcW w:w="1304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687E0C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㎡当たり評価格</w:t>
            </w:r>
          </w:p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(b)</w:t>
            </w:r>
          </w:p>
        </w:tc>
        <w:tc>
          <w:tcPr>
            <w:tcW w:w="1644" w:type="dxa"/>
            <w:gridSpan w:val="2"/>
            <w:vAlign w:val="center"/>
          </w:tcPr>
          <w:p w:rsidR="00687E0C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　価　格</w:t>
            </w:r>
          </w:p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(c)＝(a×b)</w:t>
            </w:r>
          </w:p>
        </w:tc>
        <w:tc>
          <w:tcPr>
            <w:tcW w:w="1644" w:type="dxa"/>
            <w:gridSpan w:val="2"/>
            <w:vAlign w:val="center"/>
          </w:tcPr>
          <w:p w:rsidR="00687E0C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㎡当たり評価格</w:t>
            </w:r>
          </w:p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(d)</w:t>
            </w:r>
          </w:p>
        </w:tc>
        <w:tc>
          <w:tcPr>
            <w:tcW w:w="1644" w:type="dxa"/>
            <w:vAlign w:val="center"/>
          </w:tcPr>
          <w:p w:rsidR="00687E0C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　価　格</w:t>
            </w:r>
          </w:p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(e)＝(a×d)</w:t>
            </w:r>
          </w:p>
        </w:tc>
        <w:tc>
          <w:tcPr>
            <w:tcW w:w="1475" w:type="dxa"/>
            <w:vMerge/>
            <w:vAlign w:val="center"/>
          </w:tcPr>
          <w:p w:rsidR="00687E0C" w:rsidRPr="005056A4" w:rsidRDefault="00687E0C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4413F1">
        <w:trPr>
          <w:trHeight w:hRule="exact" w:val="454"/>
        </w:trPr>
        <w:tc>
          <w:tcPr>
            <w:tcW w:w="1304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計（総額）</w:t>
            </w: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C797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1C7974" w:rsidRDefault="001C7974" w:rsidP="001C7974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1C7974" w:rsidRPr="00881B46" w:rsidTr="00845E77">
        <w:trPr>
          <w:trHeight w:hRule="exact" w:val="284"/>
        </w:trPr>
        <w:tc>
          <w:tcPr>
            <w:tcW w:w="8392" w:type="dxa"/>
            <w:gridSpan w:val="7"/>
            <w:vMerge w:val="restart"/>
            <w:tcBorders>
              <w:right w:val="nil"/>
            </w:tcBorders>
            <w:vAlign w:val="center"/>
          </w:tcPr>
          <w:p w:rsidR="001C7974" w:rsidRPr="005056A4" w:rsidRDefault="00845E77" w:rsidP="00845E77">
            <w:pPr>
              <w:wordWrap w:val="0"/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調整前の総額と調整後の総額の格差　　(c)－(e)　＝　</w:t>
            </w:r>
            <w:r w:rsidRPr="00845E77">
              <w:rPr>
                <w:rFonts w:hint="eastAsia"/>
                <w:sz w:val="20"/>
                <w:szCs w:val="20"/>
                <w:u w:val="single"/>
              </w:rPr>
              <w:t>±　　　　　　　　円</w:t>
            </w:r>
            <w:r>
              <w:rPr>
                <w:rFonts w:hint="eastAsia"/>
                <w:sz w:val="20"/>
                <w:szCs w:val="20"/>
              </w:rPr>
              <w:t xml:space="preserve">、　比率　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(e)</w:t>
            </w:r>
          </w:p>
        </w:tc>
        <w:tc>
          <w:tcPr>
            <w:tcW w:w="4423" w:type="dxa"/>
            <w:gridSpan w:val="3"/>
            <w:vMerge w:val="restart"/>
            <w:tcBorders>
              <w:left w:val="nil"/>
            </w:tcBorders>
            <w:vAlign w:val="center"/>
          </w:tcPr>
          <w:p w:rsidR="001C7974" w:rsidRPr="005056A4" w:rsidRDefault="00845E77" w:rsidP="00845E77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＝</w:t>
            </w:r>
            <w:r w:rsidRPr="00845E77">
              <w:rPr>
                <w:rFonts w:hint="eastAsia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1C7974" w:rsidRPr="00881B46" w:rsidTr="00845E77">
        <w:trPr>
          <w:trHeight w:hRule="exact" w:val="284"/>
        </w:trPr>
        <w:tc>
          <w:tcPr>
            <w:tcW w:w="8392" w:type="dxa"/>
            <w:gridSpan w:val="7"/>
            <w:vMerge/>
            <w:tcBorders>
              <w:right w:val="nil"/>
            </w:tcBorders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(c)</w:t>
            </w:r>
          </w:p>
        </w:tc>
        <w:tc>
          <w:tcPr>
            <w:tcW w:w="4423" w:type="dxa"/>
            <w:gridSpan w:val="3"/>
            <w:vMerge/>
            <w:tcBorders>
              <w:left w:val="nil"/>
            </w:tcBorders>
            <w:vAlign w:val="center"/>
          </w:tcPr>
          <w:p w:rsidR="001C7974" w:rsidRPr="005056A4" w:rsidRDefault="001C7974" w:rsidP="001C7974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1225DE" w:rsidRPr="001C7974" w:rsidRDefault="003B4AAA" w:rsidP="00DF08F9">
      <w:pPr>
        <w:autoSpaceDE w:val="0"/>
        <w:autoSpaceDN w:val="0"/>
        <w:adjustRightInd w:val="0"/>
        <w:ind w:left="816" w:hangingChars="400" w:hanging="816"/>
        <w:jc w:val="left"/>
      </w:pPr>
      <w:r w:rsidRPr="001C7974">
        <w:rPr>
          <w:rFonts w:hint="eastAsia"/>
        </w:rPr>
        <w:t>（注）</w:t>
      </w:r>
      <w:r w:rsidR="001225DE" w:rsidRPr="001C7974">
        <w:rPr>
          <w:rFonts w:hint="eastAsia"/>
        </w:rPr>
        <w:t>１　調整前とは、国土交通省損失補償取扱要領（平成15年</w:t>
      </w:r>
      <w:r w:rsidR="00DF08F9">
        <w:rPr>
          <w:rFonts w:hint="eastAsia"/>
        </w:rPr>
        <w:t>８</w:t>
      </w:r>
      <w:r w:rsidR="001225DE" w:rsidRPr="001C7974">
        <w:rPr>
          <w:rFonts w:hint="eastAsia"/>
        </w:rPr>
        <w:t>月</w:t>
      </w:r>
      <w:r w:rsidR="00DF08F9">
        <w:rPr>
          <w:rFonts w:hint="eastAsia"/>
        </w:rPr>
        <w:t>５</w:t>
      </w:r>
      <w:r w:rsidR="001225DE" w:rsidRPr="001C7974">
        <w:rPr>
          <w:rFonts w:hint="eastAsia"/>
        </w:rPr>
        <w:t>日</w:t>
      </w:r>
      <w:r w:rsidR="00DF08F9">
        <w:rPr>
          <w:rFonts w:hint="eastAsia"/>
        </w:rPr>
        <w:t>国</w:t>
      </w:r>
      <w:r w:rsidR="001225DE" w:rsidRPr="001C7974">
        <w:rPr>
          <w:rFonts w:hint="eastAsia"/>
        </w:rPr>
        <w:t>総目調第58号）別記１土地評価事務処理要領第６条の規定による標準地から各画地へ比準した評価額とすること。</w:t>
      </w:r>
    </w:p>
    <w:p w:rsidR="001225DE" w:rsidRPr="001C7974" w:rsidRDefault="001225DE" w:rsidP="00DF08F9">
      <w:pPr>
        <w:autoSpaceDE w:val="0"/>
        <w:autoSpaceDN w:val="0"/>
        <w:adjustRightInd w:val="0"/>
        <w:jc w:val="left"/>
      </w:pPr>
      <w:r w:rsidRPr="001C7974">
        <w:rPr>
          <w:rFonts w:hint="eastAsia"/>
        </w:rPr>
        <w:t xml:space="preserve">　　　２　調整後とは、取得に係る土地の評価額とすること。</w:t>
      </w:r>
      <w:bookmarkStart w:id="0" w:name="_GoBack"/>
      <w:bookmarkEnd w:id="0"/>
    </w:p>
    <w:p w:rsidR="0047489F" w:rsidRPr="001C7974" w:rsidRDefault="001225DE" w:rsidP="00DF08F9">
      <w:pPr>
        <w:autoSpaceDE w:val="0"/>
        <w:autoSpaceDN w:val="0"/>
        <w:adjustRightInd w:val="0"/>
        <w:jc w:val="left"/>
      </w:pPr>
      <w:r w:rsidRPr="001C7974">
        <w:rPr>
          <w:rFonts w:hint="eastAsia"/>
        </w:rPr>
        <w:t xml:space="preserve">　　　３　</w:t>
      </w:r>
      <w:r w:rsidR="003B4AAA" w:rsidRPr="001C7974">
        <w:rPr>
          <w:rFonts w:hint="eastAsia"/>
        </w:rPr>
        <w:t>用紙の大きさは、</w:t>
      </w:r>
      <w:r w:rsidR="00C26BEC" w:rsidRPr="00285579">
        <w:rPr>
          <w:rFonts w:hint="eastAsia"/>
        </w:rPr>
        <w:t>日本産業</w:t>
      </w:r>
      <w:r w:rsidR="003B4AAA" w:rsidRPr="00285579">
        <w:rPr>
          <w:rFonts w:hint="eastAsia"/>
        </w:rPr>
        <w:t>規格Ａ列４</w:t>
      </w:r>
      <w:r w:rsidR="00C26BEC" w:rsidRPr="00285579">
        <w:rPr>
          <w:rFonts w:hint="eastAsia"/>
        </w:rPr>
        <w:t>番</w:t>
      </w:r>
      <w:r w:rsidRPr="001C7974">
        <w:rPr>
          <w:rFonts w:hint="eastAsia"/>
        </w:rPr>
        <w:t>横</w:t>
      </w:r>
      <w:r w:rsidR="003B4AAA" w:rsidRPr="001C7974">
        <w:rPr>
          <w:rFonts w:hint="eastAsia"/>
        </w:rPr>
        <w:t>とする。</w:t>
      </w:r>
    </w:p>
    <w:sectPr w:rsidR="0047489F" w:rsidRPr="001C7974" w:rsidSect="004413F1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225DE"/>
    <w:rsid w:val="001310C4"/>
    <w:rsid w:val="001B006F"/>
    <w:rsid w:val="001B24B4"/>
    <w:rsid w:val="001B5322"/>
    <w:rsid w:val="001B666D"/>
    <w:rsid w:val="001C11EF"/>
    <w:rsid w:val="001C7974"/>
    <w:rsid w:val="001D1F16"/>
    <w:rsid w:val="001F5F29"/>
    <w:rsid w:val="00217613"/>
    <w:rsid w:val="002736A7"/>
    <w:rsid w:val="00285579"/>
    <w:rsid w:val="003074BB"/>
    <w:rsid w:val="00307BC5"/>
    <w:rsid w:val="00322DB3"/>
    <w:rsid w:val="003512A6"/>
    <w:rsid w:val="003B4AAA"/>
    <w:rsid w:val="003D1DD4"/>
    <w:rsid w:val="003E30D0"/>
    <w:rsid w:val="003E4DFA"/>
    <w:rsid w:val="004413F1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4F0814"/>
    <w:rsid w:val="005056A4"/>
    <w:rsid w:val="005936E9"/>
    <w:rsid w:val="005A090C"/>
    <w:rsid w:val="005C095C"/>
    <w:rsid w:val="005F172E"/>
    <w:rsid w:val="0065372C"/>
    <w:rsid w:val="00687E0C"/>
    <w:rsid w:val="00691746"/>
    <w:rsid w:val="006C2B79"/>
    <w:rsid w:val="006C4B2A"/>
    <w:rsid w:val="006F43B4"/>
    <w:rsid w:val="00721604"/>
    <w:rsid w:val="00725B95"/>
    <w:rsid w:val="007430E5"/>
    <w:rsid w:val="007566CB"/>
    <w:rsid w:val="007E487B"/>
    <w:rsid w:val="008071CB"/>
    <w:rsid w:val="00815CFB"/>
    <w:rsid w:val="00845E77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26BEC"/>
    <w:rsid w:val="00C71947"/>
    <w:rsid w:val="00C918FF"/>
    <w:rsid w:val="00CC6B94"/>
    <w:rsid w:val="00CD02BA"/>
    <w:rsid w:val="00CD327D"/>
    <w:rsid w:val="00D320FD"/>
    <w:rsid w:val="00DB576E"/>
    <w:rsid w:val="00DE3435"/>
    <w:rsid w:val="00DF08F9"/>
    <w:rsid w:val="00EA0600"/>
    <w:rsid w:val="00EA1019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7A259B4A-104A-430C-9C17-9AD39BCC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2107-1477-4C2B-8AB1-2E844545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49</cp:revision>
  <cp:lastPrinted>2017-10-19T10:38:00Z</cp:lastPrinted>
  <dcterms:created xsi:type="dcterms:W3CDTF">2017-10-19T09:49:00Z</dcterms:created>
  <dcterms:modified xsi:type="dcterms:W3CDTF">2020-03-12T02:51:00Z</dcterms:modified>
</cp:coreProperties>
</file>